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531" w:tblpY="593"/>
        <w:tblOverlap w:val="never"/>
        <w:tblW w:w="1380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823"/>
        <w:gridCol w:w="1949"/>
        <w:gridCol w:w="883"/>
        <w:gridCol w:w="751"/>
        <w:gridCol w:w="1434"/>
        <w:gridCol w:w="5033"/>
        <w:gridCol w:w="17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138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620" w:lineRule="exact"/>
              <w:jc w:val="left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附件1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8890"/>
                  <wp:effectExtent l="0" t="0" r="0" b="0"/>
                  <wp:wrapNone/>
                  <wp:docPr id="4" name="Text_Box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ext_Box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8890"/>
                  <wp:effectExtent l="0" t="0" r="0" b="0"/>
                  <wp:wrapNone/>
                  <wp:docPr id="2" name="Text_Box_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xt_Box_1_SpCnt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15240"/>
                  <wp:effectExtent l="0" t="0" r="0" b="0"/>
                  <wp:wrapNone/>
                  <wp:docPr id="3" name="Text_Box_1_SpCnt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xt_Box_1_SpCnt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1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6104255</wp:posOffset>
                  </wp:positionH>
                  <wp:positionV relativeFrom="paragraph">
                    <wp:posOffset>0</wp:posOffset>
                  </wp:positionV>
                  <wp:extent cx="203200" cy="15240"/>
                  <wp:effectExtent l="0" t="0" r="0" b="0"/>
                  <wp:wrapNone/>
                  <wp:docPr id="1" name="Text_Box_1_SpCnt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ext_Box_1_SpCnt_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1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安徽艺术学院2024年高层次人才招聘岗位计划（一）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拟聘岗位</w:t>
            </w:r>
          </w:p>
        </w:tc>
        <w:tc>
          <w:tcPr>
            <w:tcW w:w="8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117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招聘岗位所需资格条件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学科（专业）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学历  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12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20人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舞蹈表演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（1）中国民族民间舞、古典舞、芭蕾基训、舞蹈编导方向教师，能胜专业课教学和剧目的编创及排练工作；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（2）具有优秀的舞台表演、及编创能力，个人表演或编创作品入选国际、国家级舞蹈专业赛事展演、比赛；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（3）本硕博专业一致；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（1）摩登舞方向教师，能胜任国际标准舞摩登舞教学和剧目的编创及排练工作；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（2）个人表演或编创作品入选国际、国家级舞蹈专业赛事展演、比赛；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（3）本硕博专业一致；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戏剧影视表演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（导演方向）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具有副教授及以上职称者，年龄可放宽至45周岁以下。</w:t>
            </w:r>
          </w:p>
        </w:tc>
        <w:tc>
          <w:tcPr>
            <w:tcW w:w="17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新闻传播学类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本、硕、博有一个阶段是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播音主持专业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；具有副教授及以上职称者，年龄可放宽至45周岁以下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美术史论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仿宋_GB2312" w:hAnsi="宋体" w:eastAsia="仿宋_GB2312" w:cs="仿宋_GB2312"/>
                <w:i w:val="0"/>
                <w:iCs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艺术管理（美术）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1年以上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专业策展经验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；具有副教授及以上职称者，年龄可放宽至45周岁以下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信息可视化设计方向优先，具有副教授及以上职称者，年龄可放宽至45周岁以下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数字媒体艺术           艺术与科技、动画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交互式设计方向、熟练使用C4D/UE4/UNITY软件优先，具有副教授及以上职称者，年龄可放宽至45周岁以下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计算机科学与技术、软件工程、数字媒体技术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熟练代码编程优先、熟练使用C4D/UE4/UNITY软件优先，具有副教授及以上职称者，年龄可放宽至45周岁以下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环境设计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建筑学、风景园林方向优先，具有副教授及以上职称者，年龄可放宽至45周岁以下    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工业设计、产品设计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擅长参数化设计、智能化设计，具有副教授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及以上职称者，年龄可放宽至45周岁以下          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非物质文化遗产保护 （科学技术史）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具有副教授及以上职称者，年龄可放宽至45周岁以下      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马克思主义理论</w:t>
            </w:r>
          </w:p>
        </w:tc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及以上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30周岁以下</w:t>
            </w:r>
          </w:p>
        </w:tc>
        <w:tc>
          <w:tcPr>
            <w:tcW w:w="5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中共党员；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本科专业与硕士专业相近；有高校思政课教师工作经历，获校级教学竞赛二等奖以上、或省级教学竞赛三等奖以上。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博士可参照本次高层次人才进行综合考核；硕士请关注我校后续公开招考通知。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688419-C7D9-4467-AF3D-3577A8AFFE8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468C149-1E77-4FAC-A55E-581235578C2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D1EFD53-7F8F-41AD-91FD-BF483677F6D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A7F67FB-8BB4-42B4-8CE6-FED23157E01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NmU5NDk4ODllODVmNTc1NTZjY2YzZjhiYWNjNTUifQ=="/>
  </w:docVars>
  <w:rsids>
    <w:rsidRoot w:val="00000000"/>
    <w:rsid w:val="03CF4570"/>
    <w:rsid w:val="5CE63ACF"/>
    <w:rsid w:val="68B86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2024-02-29T14:31:00Z</dcterms:created>
  <dc:creator>rsc</dc:creator>
  <cp:lastModifiedBy>禾仔</cp:lastModifiedBy>
  <dcterms:modified xsi:type="dcterms:W3CDTF">2024-04-07T02:59:40Z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69E64F21BA1546CDB335EF4A4F81F336_13</vt:lpwstr>
  </property>
</Properties>
</file>